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715" w:rsidRPr="0053296B" w:rsidRDefault="0053296B" w:rsidP="0053296B">
      <w:pPr>
        <w:spacing w:line="240" w:lineRule="auto"/>
        <w:contextualSpacing/>
        <w:rPr>
          <w:rFonts w:ascii="Arial" w:hAnsi="Arial" w:cs="Arial"/>
          <w:sz w:val="24"/>
          <w:szCs w:val="24"/>
        </w:rPr>
      </w:pPr>
      <w:r w:rsidRPr="0053296B">
        <w:rPr>
          <w:rFonts w:ascii="Arial" w:hAnsi="Arial" w:cs="Arial"/>
          <w:noProof/>
          <w:sz w:val="24"/>
          <w:szCs w:val="24"/>
          <w:lang w:eastAsia="en-GB"/>
        </w:rPr>
        <w:drawing>
          <wp:inline distT="0" distB="0" distL="0" distR="0" wp14:anchorId="1D417DCE" wp14:editId="7484172F">
            <wp:extent cx="2352675" cy="876300"/>
            <wp:effectExtent l="0" t="0" r="9525" b="0"/>
            <wp:docPr id="1" name="Picture 1" descr="Causeway Coast and Glens Borough Council"/>
            <wp:cNvGraphicFramePr/>
            <a:graphic xmlns:a="http://schemas.openxmlformats.org/drawingml/2006/main">
              <a:graphicData uri="http://schemas.openxmlformats.org/drawingml/2006/picture">
                <pic:pic xmlns:pic="http://schemas.openxmlformats.org/drawingml/2006/picture">
                  <pic:nvPicPr>
                    <pic:cNvPr id="1" name="Picture 1" descr="Causeway Coast and Glens Borough Council"/>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352675" cy="876300"/>
                    </a:xfrm>
                    <a:prstGeom prst="rect">
                      <a:avLst/>
                    </a:prstGeom>
                    <a:noFill/>
                    <a:ln>
                      <a:noFill/>
                    </a:ln>
                  </pic:spPr>
                </pic:pic>
              </a:graphicData>
            </a:graphic>
          </wp:inline>
        </w:drawing>
      </w:r>
      <w:bookmarkStart w:id="0" w:name="_GoBack"/>
      <w:bookmarkEnd w:id="0"/>
    </w:p>
    <w:p w:rsidR="0053296B" w:rsidRDefault="0053296B" w:rsidP="0053296B">
      <w:pPr>
        <w:spacing w:line="240" w:lineRule="auto"/>
        <w:contextualSpacing/>
        <w:rPr>
          <w:rFonts w:ascii="Arial" w:hAnsi="Arial" w:cs="Arial"/>
          <w:sz w:val="24"/>
          <w:szCs w:val="24"/>
        </w:rPr>
      </w:pPr>
    </w:p>
    <w:p w:rsidR="0053296B" w:rsidRPr="0053296B" w:rsidRDefault="0053296B" w:rsidP="0053296B">
      <w:pPr>
        <w:spacing w:line="240" w:lineRule="auto"/>
        <w:contextualSpacing/>
        <w:jc w:val="center"/>
        <w:rPr>
          <w:rFonts w:ascii="Arial" w:hAnsi="Arial" w:cs="Arial"/>
          <w:b/>
          <w:sz w:val="24"/>
          <w:szCs w:val="24"/>
          <w:u w:val="single"/>
        </w:rPr>
      </w:pPr>
      <w:r w:rsidRPr="0053296B">
        <w:rPr>
          <w:rFonts w:ascii="Arial" w:hAnsi="Arial" w:cs="Arial"/>
          <w:b/>
          <w:sz w:val="24"/>
          <w:szCs w:val="24"/>
          <w:u w:val="single"/>
        </w:rPr>
        <w:t>SECTION 75 EQUALITY AND GOOD RELATIONS</w:t>
      </w:r>
    </w:p>
    <w:p w:rsidR="0053296B" w:rsidRPr="0053296B" w:rsidRDefault="0053296B" w:rsidP="0053296B">
      <w:pPr>
        <w:spacing w:line="240" w:lineRule="auto"/>
        <w:contextualSpacing/>
        <w:jc w:val="center"/>
        <w:rPr>
          <w:rFonts w:ascii="Arial" w:hAnsi="Arial" w:cs="Arial"/>
          <w:b/>
          <w:sz w:val="24"/>
          <w:szCs w:val="24"/>
        </w:rPr>
      </w:pPr>
    </w:p>
    <w:p w:rsidR="0053296B" w:rsidRPr="0053296B" w:rsidRDefault="0053296B" w:rsidP="0053296B">
      <w:pPr>
        <w:spacing w:line="240" w:lineRule="auto"/>
        <w:contextualSpacing/>
        <w:jc w:val="center"/>
        <w:rPr>
          <w:rFonts w:ascii="Arial" w:hAnsi="Arial" w:cs="Arial"/>
          <w:b/>
          <w:sz w:val="24"/>
          <w:szCs w:val="24"/>
        </w:rPr>
      </w:pPr>
      <w:r w:rsidRPr="0053296B">
        <w:rPr>
          <w:rFonts w:ascii="Arial" w:hAnsi="Arial" w:cs="Arial"/>
          <w:b/>
          <w:sz w:val="24"/>
          <w:szCs w:val="24"/>
        </w:rPr>
        <w:t>CONSULTATION ON SCREENING OF POLICIES</w:t>
      </w:r>
    </w:p>
    <w:p w:rsidR="0053296B" w:rsidRPr="0053296B" w:rsidRDefault="0053296B" w:rsidP="0053296B">
      <w:pPr>
        <w:spacing w:line="240" w:lineRule="auto"/>
        <w:contextualSpacing/>
        <w:jc w:val="center"/>
        <w:rPr>
          <w:rFonts w:ascii="Arial" w:hAnsi="Arial" w:cs="Arial"/>
          <w:b/>
          <w:sz w:val="24"/>
          <w:szCs w:val="24"/>
        </w:rPr>
      </w:pPr>
      <w:r w:rsidRPr="0053296B">
        <w:rPr>
          <w:rFonts w:ascii="Arial" w:hAnsi="Arial" w:cs="Arial"/>
          <w:b/>
          <w:sz w:val="24"/>
          <w:szCs w:val="24"/>
        </w:rPr>
        <w:t>JANUARY TO MARCH 2019</w:t>
      </w:r>
    </w:p>
    <w:p w:rsidR="0053296B" w:rsidRDefault="0053296B" w:rsidP="0053296B">
      <w:pPr>
        <w:spacing w:line="240"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3539"/>
        <w:gridCol w:w="5245"/>
        <w:gridCol w:w="1276"/>
        <w:gridCol w:w="1591"/>
        <w:gridCol w:w="2297"/>
      </w:tblGrid>
      <w:tr w:rsidR="0053296B" w:rsidTr="009F76E5">
        <w:tc>
          <w:tcPr>
            <w:tcW w:w="3539" w:type="dxa"/>
          </w:tcPr>
          <w:p w:rsidR="0053296B" w:rsidRPr="0053296B" w:rsidRDefault="0053296B" w:rsidP="0053296B">
            <w:pPr>
              <w:contextualSpacing/>
              <w:rPr>
                <w:rFonts w:ascii="Arial" w:hAnsi="Arial" w:cs="Arial"/>
                <w:b/>
                <w:sz w:val="24"/>
                <w:szCs w:val="24"/>
              </w:rPr>
            </w:pPr>
            <w:r w:rsidRPr="0053296B">
              <w:rPr>
                <w:rFonts w:ascii="Arial" w:hAnsi="Arial" w:cs="Arial"/>
                <w:b/>
                <w:sz w:val="24"/>
                <w:szCs w:val="24"/>
              </w:rPr>
              <w:t>Name of Policy</w:t>
            </w:r>
          </w:p>
        </w:tc>
        <w:tc>
          <w:tcPr>
            <w:tcW w:w="5245" w:type="dxa"/>
          </w:tcPr>
          <w:p w:rsidR="0053296B" w:rsidRPr="0053296B" w:rsidRDefault="0053296B" w:rsidP="0053296B">
            <w:pPr>
              <w:contextualSpacing/>
              <w:rPr>
                <w:rFonts w:ascii="Arial" w:hAnsi="Arial" w:cs="Arial"/>
                <w:b/>
                <w:sz w:val="24"/>
                <w:szCs w:val="24"/>
              </w:rPr>
            </w:pPr>
            <w:r w:rsidRPr="0053296B">
              <w:rPr>
                <w:rFonts w:ascii="Arial" w:hAnsi="Arial" w:cs="Arial"/>
                <w:b/>
                <w:sz w:val="24"/>
                <w:szCs w:val="24"/>
              </w:rPr>
              <w:t>Aim/Purpose of Policy</w:t>
            </w:r>
          </w:p>
        </w:tc>
        <w:tc>
          <w:tcPr>
            <w:tcW w:w="1276" w:type="dxa"/>
          </w:tcPr>
          <w:p w:rsidR="0053296B" w:rsidRPr="0053296B" w:rsidRDefault="0053296B" w:rsidP="0053296B">
            <w:pPr>
              <w:contextualSpacing/>
              <w:rPr>
                <w:rFonts w:ascii="Arial" w:hAnsi="Arial" w:cs="Arial"/>
                <w:b/>
                <w:sz w:val="24"/>
                <w:szCs w:val="24"/>
              </w:rPr>
            </w:pPr>
            <w:r w:rsidRPr="0053296B">
              <w:rPr>
                <w:rFonts w:ascii="Arial" w:hAnsi="Arial" w:cs="Arial"/>
                <w:b/>
                <w:sz w:val="24"/>
                <w:szCs w:val="24"/>
              </w:rPr>
              <w:t>New or Revised Policy</w:t>
            </w:r>
          </w:p>
        </w:tc>
        <w:tc>
          <w:tcPr>
            <w:tcW w:w="1591" w:type="dxa"/>
          </w:tcPr>
          <w:p w:rsidR="0053296B" w:rsidRPr="0053296B" w:rsidRDefault="0053296B" w:rsidP="0053296B">
            <w:pPr>
              <w:contextualSpacing/>
              <w:rPr>
                <w:rFonts w:ascii="Arial" w:hAnsi="Arial" w:cs="Arial"/>
                <w:b/>
                <w:sz w:val="24"/>
                <w:szCs w:val="24"/>
              </w:rPr>
            </w:pPr>
            <w:r w:rsidRPr="0053296B">
              <w:rPr>
                <w:rFonts w:ascii="Arial" w:hAnsi="Arial" w:cs="Arial"/>
                <w:b/>
                <w:sz w:val="24"/>
                <w:szCs w:val="24"/>
              </w:rPr>
              <w:t>Date of Screening</w:t>
            </w:r>
          </w:p>
        </w:tc>
        <w:tc>
          <w:tcPr>
            <w:tcW w:w="2297" w:type="dxa"/>
          </w:tcPr>
          <w:p w:rsidR="0053296B" w:rsidRPr="0053296B" w:rsidRDefault="0053296B" w:rsidP="0053296B">
            <w:pPr>
              <w:contextualSpacing/>
              <w:rPr>
                <w:rFonts w:ascii="Arial" w:hAnsi="Arial" w:cs="Arial"/>
                <w:b/>
                <w:sz w:val="24"/>
                <w:szCs w:val="24"/>
              </w:rPr>
            </w:pPr>
            <w:r w:rsidRPr="0053296B">
              <w:rPr>
                <w:rFonts w:ascii="Arial" w:hAnsi="Arial" w:cs="Arial"/>
                <w:b/>
                <w:sz w:val="24"/>
                <w:szCs w:val="24"/>
              </w:rPr>
              <w:t>Recommendation</w:t>
            </w:r>
          </w:p>
        </w:tc>
      </w:tr>
      <w:tr w:rsidR="0053296B" w:rsidTr="009F76E5">
        <w:tc>
          <w:tcPr>
            <w:tcW w:w="3539" w:type="dxa"/>
          </w:tcPr>
          <w:p w:rsidR="0053296B" w:rsidRDefault="0053296B" w:rsidP="0053296B">
            <w:pPr>
              <w:contextualSpacing/>
              <w:rPr>
                <w:rFonts w:ascii="Arial" w:hAnsi="Arial" w:cs="Arial"/>
                <w:sz w:val="24"/>
                <w:szCs w:val="24"/>
              </w:rPr>
            </w:pPr>
            <w:r>
              <w:rPr>
                <w:rFonts w:ascii="Arial" w:hAnsi="Arial" w:cs="Arial"/>
                <w:sz w:val="24"/>
                <w:szCs w:val="24"/>
              </w:rPr>
              <w:t>Travel and Subsistence Policy</w:t>
            </w:r>
          </w:p>
        </w:tc>
        <w:tc>
          <w:tcPr>
            <w:tcW w:w="5245" w:type="dxa"/>
          </w:tcPr>
          <w:p w:rsidR="0053296B" w:rsidRPr="009F76E5" w:rsidRDefault="009F76E5" w:rsidP="009F76E5">
            <w:pPr>
              <w:contextualSpacing/>
              <w:rPr>
                <w:rFonts w:ascii="Arial" w:hAnsi="Arial" w:cs="Arial"/>
                <w:sz w:val="24"/>
                <w:szCs w:val="24"/>
              </w:rPr>
            </w:pPr>
            <w:r w:rsidRPr="009F76E5">
              <w:rPr>
                <w:rFonts w:ascii="Arial" w:hAnsi="Arial" w:cs="Arial"/>
                <w:sz w:val="24"/>
                <w:szCs w:val="24"/>
              </w:rPr>
              <w:t>This Policy covers payment of mileage related expenses and associated subsistence expenses to all Council staff.  This policy is new but it documents current practice and does not make any changes to the procedures for eligibility and reimbursement of expenses in accordance with NJC guidelines.</w:t>
            </w:r>
          </w:p>
          <w:p w:rsidR="009F76E5" w:rsidRDefault="009F76E5" w:rsidP="009F76E5">
            <w:pPr>
              <w:contextualSpacing/>
              <w:rPr>
                <w:rFonts w:ascii="Arial" w:hAnsi="Arial" w:cs="Arial"/>
                <w:sz w:val="24"/>
                <w:szCs w:val="24"/>
              </w:rPr>
            </w:pPr>
          </w:p>
        </w:tc>
        <w:tc>
          <w:tcPr>
            <w:tcW w:w="1276" w:type="dxa"/>
          </w:tcPr>
          <w:p w:rsidR="0053296B" w:rsidRDefault="009F76E5" w:rsidP="0053296B">
            <w:pPr>
              <w:contextualSpacing/>
              <w:rPr>
                <w:rFonts w:ascii="Arial" w:hAnsi="Arial" w:cs="Arial"/>
                <w:sz w:val="24"/>
                <w:szCs w:val="24"/>
              </w:rPr>
            </w:pPr>
            <w:r>
              <w:rPr>
                <w:rFonts w:ascii="Arial" w:hAnsi="Arial" w:cs="Arial"/>
                <w:sz w:val="24"/>
                <w:szCs w:val="24"/>
              </w:rPr>
              <w:t>New</w:t>
            </w:r>
          </w:p>
        </w:tc>
        <w:tc>
          <w:tcPr>
            <w:tcW w:w="1591" w:type="dxa"/>
          </w:tcPr>
          <w:p w:rsidR="0053296B" w:rsidRDefault="009F76E5" w:rsidP="0053296B">
            <w:pPr>
              <w:contextualSpacing/>
              <w:rPr>
                <w:rFonts w:ascii="Arial" w:hAnsi="Arial" w:cs="Arial"/>
                <w:sz w:val="24"/>
                <w:szCs w:val="24"/>
              </w:rPr>
            </w:pPr>
            <w:r>
              <w:rPr>
                <w:rFonts w:ascii="Arial" w:hAnsi="Arial" w:cs="Arial"/>
                <w:sz w:val="24"/>
                <w:szCs w:val="24"/>
              </w:rPr>
              <w:t>7 February 2019</w:t>
            </w:r>
          </w:p>
        </w:tc>
        <w:tc>
          <w:tcPr>
            <w:tcW w:w="2297" w:type="dxa"/>
          </w:tcPr>
          <w:p w:rsidR="0053296B" w:rsidRDefault="009F76E5" w:rsidP="0053296B">
            <w:pPr>
              <w:contextualSpacing/>
              <w:rPr>
                <w:rFonts w:ascii="Arial" w:hAnsi="Arial" w:cs="Arial"/>
                <w:sz w:val="24"/>
                <w:szCs w:val="24"/>
              </w:rPr>
            </w:pPr>
            <w:r>
              <w:rPr>
                <w:rFonts w:ascii="Arial" w:hAnsi="Arial" w:cs="Arial"/>
                <w:sz w:val="24"/>
                <w:szCs w:val="24"/>
              </w:rPr>
              <w:t>Screened out for EQIA without mitigation</w:t>
            </w:r>
          </w:p>
        </w:tc>
      </w:tr>
      <w:tr w:rsidR="0053296B" w:rsidTr="009F76E5">
        <w:tc>
          <w:tcPr>
            <w:tcW w:w="3539" w:type="dxa"/>
          </w:tcPr>
          <w:p w:rsidR="0053296B" w:rsidRDefault="00FC3CCA" w:rsidP="0053296B">
            <w:pPr>
              <w:contextualSpacing/>
              <w:rPr>
                <w:rFonts w:ascii="Arial" w:hAnsi="Arial" w:cs="Arial"/>
                <w:sz w:val="24"/>
                <w:szCs w:val="24"/>
              </w:rPr>
            </w:pPr>
            <w:r>
              <w:rPr>
                <w:rFonts w:ascii="Arial" w:hAnsi="Arial" w:cs="Arial"/>
                <w:sz w:val="24"/>
                <w:szCs w:val="24"/>
              </w:rPr>
              <w:t>Inclusive Customer Service</w:t>
            </w:r>
            <w:r w:rsidR="0053296B">
              <w:rPr>
                <w:rFonts w:ascii="Arial" w:hAnsi="Arial" w:cs="Arial"/>
                <w:sz w:val="24"/>
                <w:szCs w:val="24"/>
              </w:rPr>
              <w:t xml:space="preserve"> Policy</w:t>
            </w:r>
          </w:p>
        </w:tc>
        <w:tc>
          <w:tcPr>
            <w:tcW w:w="5245" w:type="dxa"/>
          </w:tcPr>
          <w:p w:rsidR="0053296B" w:rsidRDefault="00FC3CCA" w:rsidP="0053296B">
            <w:pPr>
              <w:contextualSpacing/>
              <w:rPr>
                <w:rFonts w:ascii="Arial" w:hAnsi="Arial" w:cs="Arial"/>
                <w:sz w:val="24"/>
                <w:szCs w:val="24"/>
              </w:rPr>
            </w:pPr>
            <w:r>
              <w:rPr>
                <w:rFonts w:ascii="Arial" w:hAnsi="Arial" w:cs="Arial"/>
                <w:sz w:val="24"/>
                <w:szCs w:val="24"/>
              </w:rPr>
              <w:t>The Inclusive Customer Service Policy outlines the Council’s commitment to uphold the spirit and letter of the Disability Discrimination Act 1995 and to strive to make all possible reasonable adjustments to make our services accessible to disabled persons.  This Policy is based on a template provided by the Equality Commission.</w:t>
            </w:r>
          </w:p>
          <w:p w:rsidR="00155759" w:rsidRDefault="00155759" w:rsidP="0053296B">
            <w:pPr>
              <w:contextualSpacing/>
              <w:rPr>
                <w:rFonts w:ascii="Arial" w:hAnsi="Arial" w:cs="Arial"/>
                <w:sz w:val="24"/>
                <w:szCs w:val="24"/>
              </w:rPr>
            </w:pPr>
          </w:p>
        </w:tc>
        <w:tc>
          <w:tcPr>
            <w:tcW w:w="1276" w:type="dxa"/>
          </w:tcPr>
          <w:p w:rsidR="0053296B" w:rsidRDefault="0053296B" w:rsidP="0053296B">
            <w:pPr>
              <w:contextualSpacing/>
              <w:rPr>
                <w:rFonts w:ascii="Arial" w:hAnsi="Arial" w:cs="Arial"/>
                <w:sz w:val="24"/>
                <w:szCs w:val="24"/>
              </w:rPr>
            </w:pPr>
            <w:r>
              <w:rPr>
                <w:rFonts w:ascii="Arial" w:hAnsi="Arial" w:cs="Arial"/>
                <w:sz w:val="24"/>
                <w:szCs w:val="24"/>
              </w:rPr>
              <w:t>New</w:t>
            </w:r>
          </w:p>
        </w:tc>
        <w:tc>
          <w:tcPr>
            <w:tcW w:w="1591" w:type="dxa"/>
          </w:tcPr>
          <w:p w:rsidR="0053296B" w:rsidRDefault="00FC3CCA" w:rsidP="0053296B">
            <w:pPr>
              <w:contextualSpacing/>
              <w:rPr>
                <w:rFonts w:ascii="Arial" w:hAnsi="Arial" w:cs="Arial"/>
                <w:sz w:val="24"/>
                <w:szCs w:val="24"/>
              </w:rPr>
            </w:pPr>
            <w:r>
              <w:rPr>
                <w:rFonts w:ascii="Arial" w:hAnsi="Arial" w:cs="Arial"/>
                <w:sz w:val="24"/>
                <w:szCs w:val="24"/>
              </w:rPr>
              <w:t>5 February 2019</w:t>
            </w:r>
          </w:p>
        </w:tc>
        <w:tc>
          <w:tcPr>
            <w:tcW w:w="2297" w:type="dxa"/>
          </w:tcPr>
          <w:p w:rsidR="0053296B" w:rsidRDefault="009F76E5" w:rsidP="0053296B">
            <w:pPr>
              <w:contextualSpacing/>
              <w:rPr>
                <w:rFonts w:ascii="Arial" w:hAnsi="Arial" w:cs="Arial"/>
                <w:sz w:val="24"/>
                <w:szCs w:val="24"/>
              </w:rPr>
            </w:pPr>
            <w:r>
              <w:rPr>
                <w:rFonts w:ascii="Arial" w:hAnsi="Arial" w:cs="Arial"/>
                <w:sz w:val="24"/>
                <w:szCs w:val="24"/>
              </w:rPr>
              <w:t>Screened out for EQIA without mitigation</w:t>
            </w:r>
          </w:p>
        </w:tc>
      </w:tr>
      <w:tr w:rsidR="009F76E5" w:rsidTr="009F76E5">
        <w:tc>
          <w:tcPr>
            <w:tcW w:w="3539" w:type="dxa"/>
          </w:tcPr>
          <w:p w:rsidR="009F76E5" w:rsidRPr="009F76E5" w:rsidRDefault="009F76E5" w:rsidP="009F76E5">
            <w:pPr>
              <w:rPr>
                <w:rFonts w:ascii="Arial" w:hAnsi="Arial" w:cs="Arial"/>
                <w:sz w:val="24"/>
                <w:szCs w:val="24"/>
              </w:rPr>
            </w:pPr>
            <w:r w:rsidRPr="009F76E5">
              <w:rPr>
                <w:rFonts w:ascii="Arial" w:hAnsi="Arial" w:cs="Arial"/>
                <w:sz w:val="24"/>
                <w:szCs w:val="24"/>
              </w:rPr>
              <w:t xml:space="preserve">Employee Performance Improvement Procedure  </w:t>
            </w:r>
          </w:p>
          <w:p w:rsidR="009F76E5" w:rsidRDefault="009F76E5" w:rsidP="0053296B">
            <w:pPr>
              <w:contextualSpacing/>
              <w:rPr>
                <w:rFonts w:ascii="Arial" w:hAnsi="Arial" w:cs="Arial"/>
                <w:sz w:val="24"/>
                <w:szCs w:val="24"/>
              </w:rPr>
            </w:pPr>
          </w:p>
        </w:tc>
        <w:tc>
          <w:tcPr>
            <w:tcW w:w="5245" w:type="dxa"/>
          </w:tcPr>
          <w:p w:rsidR="009F76E5" w:rsidRPr="009F76E5" w:rsidRDefault="009F76E5" w:rsidP="009F76E5">
            <w:pPr>
              <w:pStyle w:val="NoSpacing"/>
              <w:rPr>
                <w:rFonts w:ascii="Arial" w:hAnsi="Arial" w:cs="Arial"/>
              </w:rPr>
            </w:pPr>
            <w:r w:rsidRPr="009F76E5">
              <w:rPr>
                <w:rFonts w:ascii="Arial" w:hAnsi="Arial" w:cs="Arial"/>
              </w:rPr>
              <w:t xml:space="preserve">The policy explains the procedure for dealing with unsatisfactory performance in the organisation. </w:t>
            </w:r>
          </w:p>
          <w:p w:rsidR="009F76E5" w:rsidRPr="009F76E5" w:rsidRDefault="009F76E5" w:rsidP="009F76E5">
            <w:pPr>
              <w:pStyle w:val="NoSpacing"/>
              <w:rPr>
                <w:rFonts w:ascii="Arial" w:hAnsi="Arial" w:cs="Arial"/>
              </w:rPr>
            </w:pPr>
          </w:p>
          <w:p w:rsidR="009F76E5" w:rsidRDefault="009F76E5" w:rsidP="009F76E5">
            <w:pPr>
              <w:contextualSpacing/>
              <w:rPr>
                <w:rFonts w:ascii="Arial" w:hAnsi="Arial" w:cs="Arial"/>
                <w:sz w:val="24"/>
                <w:szCs w:val="24"/>
              </w:rPr>
            </w:pPr>
            <w:r w:rsidRPr="009F76E5">
              <w:rPr>
                <w:rFonts w:ascii="Arial" w:hAnsi="Arial" w:cs="Arial"/>
                <w:sz w:val="24"/>
                <w:szCs w:val="24"/>
              </w:rPr>
              <w:t xml:space="preserve">The fundamental aim of this procedure is provide employees with an opportunity to improve their performance, while making it clear that failure to improve their performance could ultimately lead to dismissal from the organisation.  </w:t>
            </w:r>
          </w:p>
          <w:p w:rsidR="00155759" w:rsidRDefault="00155759" w:rsidP="00155759">
            <w:pPr>
              <w:contextualSpacing/>
              <w:rPr>
                <w:rFonts w:ascii="Arial" w:hAnsi="Arial" w:cs="Arial"/>
                <w:sz w:val="24"/>
                <w:szCs w:val="24"/>
              </w:rPr>
            </w:pPr>
          </w:p>
        </w:tc>
        <w:tc>
          <w:tcPr>
            <w:tcW w:w="1276" w:type="dxa"/>
          </w:tcPr>
          <w:p w:rsidR="009F76E5" w:rsidRDefault="009F76E5" w:rsidP="0053296B">
            <w:pPr>
              <w:contextualSpacing/>
              <w:rPr>
                <w:rFonts w:ascii="Arial" w:hAnsi="Arial" w:cs="Arial"/>
                <w:sz w:val="24"/>
                <w:szCs w:val="24"/>
              </w:rPr>
            </w:pPr>
            <w:r>
              <w:rPr>
                <w:rFonts w:ascii="Arial" w:hAnsi="Arial" w:cs="Arial"/>
                <w:sz w:val="24"/>
                <w:szCs w:val="24"/>
              </w:rPr>
              <w:lastRenderedPageBreak/>
              <w:t>Revised</w:t>
            </w:r>
          </w:p>
        </w:tc>
        <w:tc>
          <w:tcPr>
            <w:tcW w:w="1591" w:type="dxa"/>
          </w:tcPr>
          <w:p w:rsidR="009F76E5" w:rsidRDefault="009F76E5" w:rsidP="0053296B">
            <w:pPr>
              <w:contextualSpacing/>
              <w:rPr>
                <w:rFonts w:ascii="Arial" w:hAnsi="Arial" w:cs="Arial"/>
                <w:sz w:val="24"/>
                <w:szCs w:val="24"/>
              </w:rPr>
            </w:pPr>
            <w:r>
              <w:rPr>
                <w:rFonts w:ascii="Arial" w:hAnsi="Arial" w:cs="Arial"/>
                <w:sz w:val="24"/>
                <w:szCs w:val="24"/>
              </w:rPr>
              <w:t>8</w:t>
            </w:r>
            <w:r w:rsidRPr="009F76E5">
              <w:rPr>
                <w:rFonts w:ascii="Arial" w:hAnsi="Arial" w:cs="Arial"/>
                <w:sz w:val="24"/>
                <w:szCs w:val="24"/>
                <w:vertAlign w:val="superscript"/>
              </w:rPr>
              <w:t>th</w:t>
            </w:r>
            <w:r>
              <w:rPr>
                <w:rFonts w:ascii="Arial" w:hAnsi="Arial" w:cs="Arial"/>
                <w:sz w:val="24"/>
                <w:szCs w:val="24"/>
              </w:rPr>
              <w:t xml:space="preserve"> February 2019</w:t>
            </w:r>
          </w:p>
        </w:tc>
        <w:tc>
          <w:tcPr>
            <w:tcW w:w="2297" w:type="dxa"/>
          </w:tcPr>
          <w:p w:rsidR="009F76E5" w:rsidRDefault="009F76E5" w:rsidP="0053296B">
            <w:pPr>
              <w:contextualSpacing/>
              <w:rPr>
                <w:rFonts w:ascii="Arial" w:hAnsi="Arial" w:cs="Arial"/>
                <w:sz w:val="24"/>
                <w:szCs w:val="24"/>
              </w:rPr>
            </w:pPr>
            <w:r>
              <w:rPr>
                <w:rFonts w:ascii="Arial" w:hAnsi="Arial" w:cs="Arial"/>
                <w:sz w:val="24"/>
                <w:szCs w:val="24"/>
              </w:rPr>
              <w:t>Screened out for EQIA without mitigation</w:t>
            </w:r>
          </w:p>
        </w:tc>
      </w:tr>
      <w:tr w:rsidR="00155759" w:rsidTr="009F76E5">
        <w:tc>
          <w:tcPr>
            <w:tcW w:w="3539" w:type="dxa"/>
          </w:tcPr>
          <w:p w:rsidR="00155759" w:rsidRDefault="00155759" w:rsidP="00155759">
            <w:pPr>
              <w:contextualSpacing/>
              <w:rPr>
                <w:rFonts w:ascii="Arial" w:hAnsi="Arial" w:cs="Arial"/>
                <w:sz w:val="24"/>
                <w:szCs w:val="24"/>
              </w:rPr>
            </w:pPr>
            <w:r>
              <w:rPr>
                <w:rFonts w:ascii="Arial" w:hAnsi="Arial" w:cs="Arial"/>
                <w:sz w:val="24"/>
                <w:szCs w:val="24"/>
              </w:rPr>
              <w:t>Procurement Policy</w:t>
            </w:r>
          </w:p>
        </w:tc>
        <w:tc>
          <w:tcPr>
            <w:tcW w:w="5245" w:type="dxa"/>
          </w:tcPr>
          <w:p w:rsidR="00155759" w:rsidRPr="00155759" w:rsidRDefault="00155759" w:rsidP="00155759">
            <w:pPr>
              <w:rPr>
                <w:rFonts w:ascii="Arial" w:hAnsi="Arial" w:cs="Arial"/>
                <w:sz w:val="24"/>
                <w:szCs w:val="24"/>
              </w:rPr>
            </w:pPr>
            <w:r>
              <w:rPr>
                <w:rFonts w:ascii="Arial" w:hAnsi="Arial" w:cs="Arial"/>
                <w:sz w:val="24"/>
                <w:szCs w:val="24"/>
              </w:rPr>
              <w:t>This po</w:t>
            </w:r>
            <w:r w:rsidRPr="00155759">
              <w:rPr>
                <w:rFonts w:ascii="Arial" w:hAnsi="Arial" w:cs="Arial"/>
                <w:sz w:val="24"/>
                <w:szCs w:val="24"/>
              </w:rPr>
              <w:t>licy document set</w:t>
            </w:r>
            <w:r>
              <w:rPr>
                <w:rFonts w:ascii="Arial" w:hAnsi="Arial" w:cs="Arial"/>
                <w:sz w:val="24"/>
                <w:szCs w:val="24"/>
              </w:rPr>
              <w:t>s</w:t>
            </w:r>
            <w:r w:rsidRPr="00155759">
              <w:rPr>
                <w:rFonts w:ascii="Arial" w:hAnsi="Arial" w:cs="Arial"/>
                <w:sz w:val="24"/>
                <w:szCs w:val="24"/>
              </w:rPr>
              <w:t xml:space="preserve"> out procedures and authorisation limits for procurement </w:t>
            </w:r>
            <w:r>
              <w:rPr>
                <w:rFonts w:ascii="Arial" w:hAnsi="Arial" w:cs="Arial"/>
                <w:sz w:val="24"/>
                <w:szCs w:val="24"/>
              </w:rPr>
              <w:t>by</w:t>
            </w:r>
            <w:r w:rsidRPr="00155759">
              <w:rPr>
                <w:rFonts w:ascii="Arial" w:hAnsi="Arial" w:cs="Arial"/>
                <w:sz w:val="24"/>
                <w:szCs w:val="24"/>
              </w:rPr>
              <w:t xml:space="preserve"> Council</w:t>
            </w:r>
            <w:r>
              <w:rPr>
                <w:rFonts w:ascii="Arial" w:hAnsi="Arial" w:cs="Arial"/>
                <w:sz w:val="24"/>
                <w:szCs w:val="24"/>
              </w:rPr>
              <w:t xml:space="preserve"> of</w:t>
            </w:r>
            <w:r w:rsidRPr="00155759">
              <w:rPr>
                <w:rFonts w:ascii="Arial" w:hAnsi="Arial" w:cs="Arial"/>
                <w:sz w:val="24"/>
                <w:szCs w:val="24"/>
              </w:rPr>
              <w:t xml:space="preserve"> goods and services</w:t>
            </w:r>
            <w:r w:rsidRPr="00155759">
              <w:rPr>
                <w:rFonts w:ascii="Arial" w:hAnsi="Arial" w:cs="Arial"/>
                <w:sz w:val="24"/>
                <w:szCs w:val="24"/>
              </w:rPr>
              <w:t xml:space="preserve">.  </w:t>
            </w:r>
            <w:r w:rsidRPr="00155759">
              <w:rPr>
                <w:rFonts w:ascii="Arial" w:hAnsi="Arial" w:cs="Arial"/>
                <w:sz w:val="24"/>
                <w:szCs w:val="24"/>
              </w:rPr>
              <w:t>The focus of this document is to promote best value procurement of goods and services throughout all areas of Causeway Coast and Glens Borough Council, while providing staff with an overview of the procurement process and some of the legal requirements involved.</w:t>
            </w:r>
          </w:p>
          <w:p w:rsidR="00155759" w:rsidRDefault="00155759" w:rsidP="00155759">
            <w:pPr>
              <w:contextualSpacing/>
              <w:rPr>
                <w:rFonts w:ascii="Arial" w:hAnsi="Arial" w:cs="Arial"/>
                <w:sz w:val="24"/>
                <w:szCs w:val="24"/>
              </w:rPr>
            </w:pPr>
          </w:p>
        </w:tc>
        <w:tc>
          <w:tcPr>
            <w:tcW w:w="1276" w:type="dxa"/>
          </w:tcPr>
          <w:p w:rsidR="00155759" w:rsidRDefault="00155759" w:rsidP="00155759">
            <w:pPr>
              <w:contextualSpacing/>
              <w:rPr>
                <w:rFonts w:ascii="Arial" w:hAnsi="Arial" w:cs="Arial"/>
                <w:sz w:val="24"/>
                <w:szCs w:val="24"/>
              </w:rPr>
            </w:pPr>
            <w:r>
              <w:rPr>
                <w:rFonts w:ascii="Arial" w:hAnsi="Arial" w:cs="Arial"/>
                <w:sz w:val="24"/>
                <w:szCs w:val="24"/>
              </w:rPr>
              <w:t>Revised</w:t>
            </w:r>
          </w:p>
        </w:tc>
        <w:tc>
          <w:tcPr>
            <w:tcW w:w="1591" w:type="dxa"/>
          </w:tcPr>
          <w:p w:rsidR="00155759" w:rsidRDefault="00155759" w:rsidP="00155759">
            <w:pPr>
              <w:contextualSpacing/>
              <w:rPr>
                <w:rFonts w:ascii="Arial" w:hAnsi="Arial" w:cs="Arial"/>
                <w:sz w:val="24"/>
                <w:szCs w:val="24"/>
              </w:rPr>
            </w:pPr>
            <w:r>
              <w:rPr>
                <w:rFonts w:ascii="Arial" w:hAnsi="Arial" w:cs="Arial"/>
                <w:sz w:val="24"/>
                <w:szCs w:val="24"/>
              </w:rPr>
              <w:t>8 March 2019</w:t>
            </w:r>
          </w:p>
        </w:tc>
        <w:tc>
          <w:tcPr>
            <w:tcW w:w="2297" w:type="dxa"/>
          </w:tcPr>
          <w:p w:rsidR="00155759" w:rsidRDefault="00155759" w:rsidP="00155759">
            <w:pPr>
              <w:contextualSpacing/>
              <w:rPr>
                <w:rFonts w:ascii="Arial" w:hAnsi="Arial" w:cs="Arial"/>
                <w:sz w:val="24"/>
                <w:szCs w:val="24"/>
              </w:rPr>
            </w:pPr>
            <w:r>
              <w:rPr>
                <w:rFonts w:ascii="Arial" w:hAnsi="Arial" w:cs="Arial"/>
                <w:sz w:val="24"/>
                <w:szCs w:val="24"/>
              </w:rPr>
              <w:t>Screened out for EQIA without mitigation</w:t>
            </w:r>
          </w:p>
        </w:tc>
      </w:tr>
    </w:tbl>
    <w:p w:rsidR="0053296B" w:rsidRPr="0053296B" w:rsidRDefault="0053296B" w:rsidP="0053296B">
      <w:pPr>
        <w:spacing w:line="240" w:lineRule="auto"/>
        <w:contextualSpacing/>
        <w:rPr>
          <w:rFonts w:ascii="Arial" w:hAnsi="Arial" w:cs="Arial"/>
          <w:sz w:val="24"/>
          <w:szCs w:val="24"/>
        </w:rPr>
      </w:pPr>
    </w:p>
    <w:sectPr w:rsidR="0053296B" w:rsidRPr="0053296B" w:rsidSect="0053296B">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46D57"/>
    <w:multiLevelType w:val="hybridMultilevel"/>
    <w:tmpl w:val="CEA62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6B"/>
    <w:rsid w:val="00155759"/>
    <w:rsid w:val="0053296B"/>
    <w:rsid w:val="009F76E5"/>
    <w:rsid w:val="00A417CD"/>
    <w:rsid w:val="00E827AC"/>
    <w:rsid w:val="00FC3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5FD12-12A4-4F29-85E9-EE3D299B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96B"/>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F76E5"/>
    <w:pPr>
      <w:spacing w:after="0"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9F76E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www.colerainebc.gov.uk/CCGBClog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Beattie</dc:creator>
  <cp:keywords/>
  <dc:description/>
  <cp:lastModifiedBy>Elizabeth Beattie</cp:lastModifiedBy>
  <cp:revision>2</cp:revision>
  <dcterms:created xsi:type="dcterms:W3CDTF">2019-04-16T13:31:00Z</dcterms:created>
  <dcterms:modified xsi:type="dcterms:W3CDTF">2019-04-16T15:36:00Z</dcterms:modified>
</cp:coreProperties>
</file>